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t xml:space="preserve"> </w:t>
      </w: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项目名称：南京市XC云软硬件维保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项目编号：JSZC-320100-NJZZ-G2025-0073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（服务类项目，非专门面向中小企业）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采购人：南京市城市数字治理中心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2025</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11</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受南京市城市数字治理中心（采购单位）委托，南京众智工程咨询有限公司（以下简称“招标代理机构”）就南京市XC云软硬件维保（项目名称）项目进行公开招标采购，欢迎符合条件的供应商投标。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一、项目基本情况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1.项目编号：JSZC-320100-NJZZ-G2025-0073</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2.项目名称：</w:t>
      </w:r>
      <w:r>
        <w:rPr>
          <w:rFonts w:ascii="SimSun" w:hAnsi="SimSun" w:eastAsia="SimSun" w:cs="SimSun"/>
          <w:color w:val="000000"/>
          <w:sz w:val="24"/>
        </w:rPr>
        <w:t xml:space="preserve">南京市XC云软硬件维保</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3.预算金额：236万元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4.最高限价：本项目最高限价为236万元，118万/年。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2021年，为深入贯彻落实《“十三五”国家信息化规划》，强化信息基础设施建设，同时推进南京市政务信息化国产化进程，南京市城市数字治理中心充分运用云计算、大数据等先进理念和技术，按照“集约高效、共享开放、国产化、按需服务”的原则，结合南京市电子政务发展情况，依托国产化软硬件，推进南京市XC云平台建设。目前南京市XC云具已为南京市15个委办局21个系统提供了216台云主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中投入的软硬件设施于今年维保到期，为不影响XC云的正常运行，南京市城市数字治理中心计划启动XC云维保服务项目，采购相应的软硬件维保，确保云平台稳定、可靠运行，同时结合目前XC云资源的使用情况，适当增补一定内存资源，缓解XC云内存资源不足的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（详细内容见本招标文件第四章）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6.合同履行期限：自合同签订之日起两年，合同一年一签。</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二、申请人的资格要求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满足《中华人民共和国政府采购法》第二十二条规定，并提供下列材料：</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1.具有独立承担民事责任的能力（法人或者其他组织提供营业执照或法人证书或组织机构代码证，自然人提供身份证）；</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3.具有履行合同所必需的设备和专业技术能力（根据项目需求提供履行合同所必需的设备和专业技术能力的证明材料或承诺书原件扫描件）；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4.参加政府采购活动前三年内，在经营活动中没有重大违法记录（提供参加本次政府采购活动前3年内在经营活动中没有重大违法记录的书面声明）；</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（三）本项目特定资格要求：无</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w:t>
      </w:r>
      <w:r>
        <w:rPr>
          <w:rFonts w:ascii="SimSun" w:hAnsi="SimSun" w:eastAsia="SimSun" w:cs="SimSun"/>
          <w:color w:val="000000"/>
          <w:sz w:val="24"/>
        </w:rPr>
        <w:t xml:space="preserve">招标文件公告发布之日起5个工作日。</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1.提交投标文件截止时间、开标时间：2025年12月02日14时00分（北京时间）。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五、公告期限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自本公告发布之日起5个工作日。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1.本项目采购标的对应的中小企业划分标准所属行业为：</w:t>
      </w:r>
      <w:r>
        <w:rPr>
          <w:rFonts w:ascii="SimSun" w:hAnsi="SimSun" w:eastAsia="SimSun" w:cs="SimSun"/>
          <w:color w:val="000000"/>
          <w:sz w:val="24"/>
        </w:rPr>
        <w:t xml:space="preserve">其他未列明行业。</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3.拒绝下述供应商参加本次采购活动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①单位负责人为同一人或者存在直接控股、管理关系的不同供应商，不得参加同一合同项下的政府采购活动。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②为采购项目提供整体设计、规范编制或者项目管理、监理、检测等服务的供应商，不得参加本项目的采购活动。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5.本项目组织集中勘察及答疑，供应商代表携带加盖单位公章的营业执照复印件、法定代表人授权委托书、身份证参加。签到开始时间</w:t>
      </w:r>
      <w:r>
        <w:rPr>
          <w:rFonts w:ascii="SimSun" w:hAnsi="SimSun" w:eastAsia="SimSun" w:cs="SimSun"/>
          <w:color w:val="000000"/>
          <w:sz w:val="24"/>
          <w:u w:val="single"/>
        </w:rPr>
        <w:t xml:space="preserve">2025年11月20日09时30分</w:t>
      </w:r>
      <w:r>
        <w:rPr>
          <w:rFonts w:ascii="SimSun" w:hAnsi="SimSun" w:eastAsia="SimSun" w:cs="SimSun"/>
          <w:color w:val="000000"/>
          <w:sz w:val="24"/>
        </w:rPr>
        <w:t xml:space="preserve">，签到截止时间</w:t>
      </w:r>
      <w:r>
        <w:rPr>
          <w:rFonts w:ascii="SimSun" w:hAnsi="SimSun" w:eastAsia="SimSun" w:cs="SimSun"/>
          <w:color w:val="000000"/>
          <w:sz w:val="24"/>
          <w:u w:val="single"/>
        </w:rPr>
        <w:t xml:space="preserve">2025年11月20日10时00分</w:t>
      </w:r>
      <w:r>
        <w:rPr>
          <w:rFonts w:ascii="SimSun" w:hAnsi="SimSun" w:eastAsia="SimSun" w:cs="SimSun"/>
          <w:color w:val="000000"/>
          <w:sz w:val="24"/>
        </w:rPr>
        <w:t xml:space="preserve">，地址：南京市建邺区江东中路265号新城大厦D座401室，联系人：曹仕羽，联系电话：025-68789532。</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8" w:tooltip="http://www.ccgp-jiangsu.gov.cn/jiangsu/zlxz/ee/ee3a4bc5a3454aa2b0d9312230633ce9.html" w:history="1">
        <w:r>
          <w:rPr>
            <w:rStyle w:val="794"/>
            <w:rFonts w:ascii="SimSun" w:hAnsi="SimSun" w:eastAsia="SimSun" w:cs="SimSun"/>
            <w:color w:val="0000ee"/>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7.报价响应人应充分考虑网络环境、网络带宽等因素可能对投标产生的影响，如因投标人自身原因造成的电子投标文件上传不成功的，做无效响应文件处理。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8.招标代理公司可以按照规定，通过修改招标文件酌情延长投标截止时间，在此情况下，供应商的所有权利和义务均以延长后新的截止时间为准。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9.有关本次招标的事项若存在变动或修改，敬请及时关注“江苏政府采购网”（www.ccgp-jiangsu.gov.cn）发布的信息更正公告。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名称：南京市城市数字治理中心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地址：南京市建邺区江东中路265号（新城大厦）D座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联系人：曹仕羽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联系电话：025-68789532</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名称：南京众智工程咨询有限公司</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地址：南京市鼓楼区郑和中路18号中海广场A座601、602室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联系方式：谭玲月 025-52896520-16</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一、总则</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.招标方式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.合格的投标人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满足招标公告对供应商的资格要求的规定。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满足本文件规定的实质性要求和条件。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3</w:t>
      </w:r>
      <w:r>
        <w:rPr>
          <w:rFonts w:ascii="KaiTi" w:hAnsi="KaiTi" w:eastAsia="KaiTi" w:cs="KaiTi"/>
          <w:b/>
          <w:color w:val="000000"/>
          <w:sz w:val="28"/>
        </w:rPr>
        <w:t xml:space="preserve">.适用法律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4</w:t>
      </w:r>
      <w:r>
        <w:rPr>
          <w:rFonts w:ascii="KaiTi" w:hAnsi="KaiTi" w:eastAsia="KaiTi" w:cs="KaiTi"/>
          <w:b/>
          <w:color w:val="000000"/>
          <w:sz w:val="28"/>
        </w:rPr>
        <w:t xml:space="preserve">.投标费用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本次招标代理机构和采购人不收取标书工本费，但收取代理服务费。</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二、招标文件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6</w:t>
      </w:r>
      <w:r>
        <w:rPr>
          <w:rFonts w:ascii="KaiTi" w:hAnsi="KaiTi" w:eastAsia="KaiTi" w:cs="KaiTi"/>
          <w:b/>
          <w:color w:val="000000"/>
          <w:sz w:val="28"/>
        </w:rPr>
        <w:t xml:space="preserve">.招标文件构成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（5）评标办法与评标标准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投标人应仔细检查招标文件是否齐全，如有缺漏请立即与招标代理机构联系。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7</w:t>
      </w:r>
      <w:r>
        <w:rPr>
          <w:rFonts w:ascii="KaiTi" w:hAnsi="KaiTi" w:eastAsia="KaiTi" w:cs="KaiTi"/>
          <w:b/>
          <w:color w:val="000000"/>
          <w:sz w:val="28"/>
        </w:rPr>
        <w:t xml:space="preserve">.招标文件的澄清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任何要求对招标文件进行澄清的投标人，应在投标截止期十日前按招标公告中的通讯地址，以书面形式通知招标代理机构。</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8</w:t>
      </w:r>
      <w:r>
        <w:rPr>
          <w:rFonts w:ascii="KaiTi" w:hAnsi="KaiTi" w:eastAsia="KaiTi" w:cs="KaiTi"/>
          <w:b/>
          <w:color w:val="000000"/>
          <w:sz w:val="28"/>
        </w:rPr>
        <w:t xml:space="preserve">.招标文件的修改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在投标截止时间前，</w:t>
      </w:r>
      <w:r>
        <w:rPr>
          <w:rFonts w:ascii="SimSun" w:hAnsi="SimSun" w:eastAsia="SimSun" w:cs="SimSun"/>
          <w:color w:val="000000"/>
          <w:sz w:val="24"/>
        </w:rPr>
        <w:t xml:space="preserve">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招标代理机构有权按照法定的要求推迟投标截止日期和开标日期，并在原公告媒体发布更正公告。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9</w:t>
      </w:r>
      <w:r>
        <w:rPr>
          <w:rFonts w:ascii="KaiTi" w:hAnsi="KaiTi" w:eastAsia="KaiTi" w:cs="KaiTi"/>
          <w:b/>
          <w:color w:val="000000"/>
          <w:sz w:val="28"/>
        </w:rPr>
        <w:t xml:space="preserve">.投标文件的语言及度量衡单位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投标人提交的投标文件以及投标人与招标代理机构就有关投标的所有来往通知、函件和文件均应使用简体中文。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10</w:t>
      </w:r>
      <w:r>
        <w:rPr>
          <w:rFonts w:ascii="KaiTi" w:hAnsi="KaiTi" w:eastAsia="KaiTi" w:cs="KaiTi"/>
          <w:b/>
          <w:color w:val="000000"/>
          <w:sz w:val="28"/>
        </w:rPr>
        <w:t xml:space="preserve">.投标文件构成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11</w:t>
      </w:r>
      <w:r>
        <w:rPr>
          <w:rFonts w:ascii="KaiTi" w:hAnsi="KaiTi" w:eastAsia="KaiTi" w:cs="KaiTi"/>
          <w:b/>
          <w:color w:val="000000"/>
          <w:sz w:val="28"/>
        </w:rPr>
        <w:t xml:space="preserve">.证明投标人及投标标的符合招标文件规定的文件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12.投标分项报价表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14</w:t>
      </w:r>
      <w:r>
        <w:rPr>
          <w:rFonts w:ascii="KaiTi" w:hAnsi="KaiTi" w:eastAsia="KaiTi" w:cs="KaiTi"/>
          <w:b/>
          <w:color w:val="000000"/>
          <w:sz w:val="28"/>
        </w:rPr>
        <w:t xml:space="preserve">.投标函和开标一览表及核心产品品牌一览表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投标人应按照招标文件规定格式完整、正确填报投标函、开标一览表及核心产品品牌一览表。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核心产品品牌一览表中所投核心产品品牌缺项的将视为无效投标。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16.投标有效期的延长</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四、投标文件的递交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17</w:t>
      </w:r>
      <w:r>
        <w:rPr>
          <w:rFonts w:ascii="KaiTi" w:hAnsi="KaiTi" w:eastAsia="KaiTi" w:cs="KaiTi"/>
          <w:b/>
          <w:color w:val="000000"/>
          <w:sz w:val="28"/>
        </w:rPr>
        <w:t xml:space="preserve">.投标文件的递交</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8.投标文件的拒收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招标代理机构拒绝接收投标截止时间后上传的任何投标文件。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9.投标文件的撤回和修改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0.开标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1.评标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评标由招标代理机构组织评标委员会（以下简称“评委会”）进行。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评委会由采购人代表和有关技术、经济等方面的专家组成，且人员构成符合政府采购有关规定。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22.评标过程的保密与公正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招标代理机构和评委会不向未中标的投标人解释未中标原因，也不公布评标过程中的相关细节。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3.投标文件的澄清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4.投标文件的审查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评审委员会启动异常低价投标（响应）审查的情形和具体要求：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评审过程中出现下列情形之一的，评审委员会应当启动异常低价投标（响应）审查程序：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（1）投标（响应）报价低于采购项目预算50%的，即投标（响应）报价&lt;采购项目预算×50%；</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（2）投标（响应）报价低于采购项目最高限价45%的，即投标（响应）报价&lt;采购项目最高限价×45%；</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 投标人在开、评标全过程中应保持通讯畅通，及时登录苏采云系统查阅、答复相关信息，并安排专人与招标代理机构及评委会联系。</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25.无效投标和废标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 无效投标条款</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投标人不具备招标文件规定的资格要求。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本招标文件中斜体且有下划线部分，或者打“★”内容为实质性要求和条件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废标条款</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符合资格条件的供应商或者对招标文件作出实质性响应的供应商不足三家。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6.确定中标单位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招标代理机构将在“江苏政府采购网”发布中标公告，公告期限为1个工作日。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向采购人、招标代理机构行贿或者提供其他不正当利益。</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属于本文件规定的无效投标情形，但在评标过程中未被评委会发现。</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与采购人或者其他供应商恶意串通。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27.中标通知书</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七、授予合同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29.服务（包含与货物相关的货物）的追加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合同履行中，采购人需追加与合同标的相同的服务（包含与货物相关的货物），在不改变合同其他条款的前提下，可以与中标人协商签订补充合同，但所有补充合同的金额不超过原合同金额的10%。</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供应商如组成联合体参加投标，《质疑函》中要求加盖公章之处，联合体各方均须按要求加盖公章。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35.《质疑函》接收部门为本次招标代理机构注明的联系地址和联系方式。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未参加投标活动的供应商或在投标活动中自身权益未受到损害的供应商所提出的质疑。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供应商组成联合体参加投标，联合体中任何一方或多方未按要求签字或签章、加盖公章的质疑。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在政府采购活动中，供应商提供的货物或者服务符合下列情形的，享受中小企业扶持政策：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（1）在货物采购项目中，全部货物由中小企业制造；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39.节能环保产品</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采购产品属于政府优先采购节能产品和环境标志产品的，对供应商提供的国家确定的认证机构出具的、处于有效期之内的节能产品或环境标志产品认证证书，评审时给予加分（详见第五章评标办法与评标标准）。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40.绿色采购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41.创新产品采购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42.网络产品、市场准入类产品采购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十、其他</w:t>
      </w:r>
      <w:r/>
    </w:p>
    <w:p>
      <w:pPr>
        <w:ind w:left="0" w:right="0" w:firstLine="562"/>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43.代理服务费</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 本次采购的代理服务费由成交供应商承担；按《江苏省招标代理服务收费的指导意见》标准基准费率计算。开具增值税普通发票。</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 中标供应商向采购代理机构支付所有费用后到采购代理机构领取中标通知书。</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代理费汇款单位：南京众智工程咨询有限公司；</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代理费汇款银行：华夏银行股份有限公司南京城北支行；</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代理费汇款账号：10366000000495882</w:t>
      </w:r>
      <w:r/>
    </w:p>
    <w:p>
      <w:pPr>
        <w:ind w:left="0" w:right="0" w:firstLine="480"/>
        <w:jc w:val="both"/>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w:t>
      </w:r>
      <w:r>
        <w:rPr>
          <w:rFonts w:ascii="SimSun" w:hAnsi="SimSun" w:eastAsia="SimSun" w:cs="SimSun"/>
          <w:color w:val="000000"/>
          <w:sz w:val="24"/>
        </w:rPr>
        <w:t xml:space="preserve">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政府采购合同（服务）</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jc w:val="both"/>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南京市城市数字治理中心</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南京众智工程咨询有限公司</w:t>
      </w:r>
      <w:r>
        <w:rPr>
          <w:rFonts w:ascii="SimSun" w:hAnsi="SimSun" w:eastAsia="SimSun" w:cs="SimSun"/>
          <w:color w:val="000000"/>
          <w:sz w:val="24"/>
        </w:rPr>
        <w:t xml:space="preserve">组织的____________________项目公开招标结果，签署本合同。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一、合同内容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履行地点：采购人指定地点。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二、合同金额</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本合同金额为（大写）：____________________圆（____________________元）人民币。</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6"/>
        <w:gridCol w:w="1092"/>
        <w:gridCol w:w="1092"/>
        <w:gridCol w:w="1092"/>
        <w:gridCol w:w="1092"/>
        <w:gridCol w:w="1841"/>
        <w:gridCol w:w="1093"/>
        <w:gridCol w:w="124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备注：以上价格含包装、装卸、运输、保险、安装、税费等所有费用。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三、技术资料</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乙方应按招标文件规定的时间向甲方提供使用货物(包含与货物相关的服务)的有关技术资料。</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乙方保证所供产品、服务质量合格，不得弄虚作假、不得提供假冒伪劣产品、不合格服务或任意提供合同（协议）外产品、服务。</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乙方向甲方提供营业执照复印件、信用报告、个人授权书、质量承诺书等相关证件，并加盖公章。</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四、知识产权</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五、产权担保</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六、履约保证金</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本项目乙方无需缴纳履约保证金。</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七、合同转包或分包</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乙方不得将合同标的转包给他人履行。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除招标文件接受分包，并经甲方同意，乙方可按分包意向协议分包情况外，乙方不得将合同标的分包给他人履行。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乙方如有转包或未经甲方同意的分包行为，甲方有权终止合同。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八、合同款项支付</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合同款项的支付方式及进度安排</w:t>
      </w:r>
      <w:r/>
    </w:p>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本项目合同签订后，甲方向乙方支付当年合同金额的30%；</w:t>
      </w:r>
      <w:r/>
    </w:p>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当年运维期满6个月后，甲方向乙方支付当年合同金额的20%；</w:t>
      </w:r>
      <w:r/>
    </w:p>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 当年运维期满1年后，甲方向乙方支付合当年同金额的50%。</w:t>
      </w:r>
      <w:r/>
    </w:p>
    <w:p>
      <w:pPr>
        <w:ind w:left="0" w:right="0" w:firstLine="0"/>
        <w:jc w:val="both"/>
        <w:spacing w:before="145" w:after="145"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8.1.4满足合同约定支付条件的，甲方收到乙方发票后10个工作日内，将资金支付到合同约定的乙方账户。 </w:t>
      </w:r>
      <w:r/>
    </w:p>
    <w:p>
      <w:pPr>
        <w:ind w:left="0" w:right="0" w:firstLine="0"/>
        <w:jc w:val="both"/>
        <w:spacing w:before="145" w:after="145"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根据工业和信息化部关于印发《保障中小企业款项支付投诉处理暂行办法》的通知（工信部企业〔2021〕224 号），甲方未按合同约定支付款项的，乙方可以向有关部门投诉。</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九、税费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本合同执行中的相关税费均由乙方负担。</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十、随服务提供的货物质量保修范围和保修期及售后服务</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乙方提供的货物在质保期内因货物本身的质量问题发生故障，乙方应负责免费更换。对达不到技术要求者，根据实际情况，经双方协商可按以下方式处理：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更换：由乙方承担所发生的全部费用。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10.2.2 贬值处理：由甲乙双方合议定价。</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10.2.3 退货处理：乙方应退还甲方支付的合同款，同时应承担该货物的直接费用（运输、保险、检验、货款利息及银行手续费等）。</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如在使用过程中发生质量问题，乙方应在接到甲方通知后</w:t>
      </w:r>
      <w:r>
        <w:rPr>
          <w:rFonts w:ascii="SimSun" w:hAnsi="SimSun" w:eastAsia="SimSun" w:cs="SimSun"/>
          <w:color w:val="000000"/>
          <w:sz w:val="24"/>
          <w:u w:val="single"/>
        </w:rPr>
        <w:t xml:space="preserve">     </w:t>
      </w:r>
      <w:r>
        <w:rPr>
          <w:rFonts w:ascii="SimSun" w:hAnsi="SimSun" w:eastAsia="SimSun" w:cs="SimSun"/>
          <w:color w:val="000000"/>
          <w:sz w:val="24"/>
        </w:rPr>
        <w:t xml:space="preserve">小时内到达甲方现场。</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质保期内，乙方应对货物出现的质量及安全问题负责处理解决并承担一切费用。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质保期为自交货验收合格之日起</w:t>
      </w:r>
      <w:r>
        <w:rPr>
          <w:rFonts w:ascii="SimSun" w:hAnsi="SimSun" w:eastAsia="SimSun" w:cs="SimSun"/>
          <w:color w:val="000000"/>
          <w:sz w:val="24"/>
          <w:u w:val="single"/>
        </w:rPr>
        <w:t xml:space="preserve">     </w:t>
      </w:r>
      <w:r>
        <w:rPr>
          <w:rFonts w:ascii="SimSun" w:hAnsi="SimSun" w:eastAsia="SimSun" w:cs="SimSun"/>
          <w:color w:val="000000"/>
          <w:sz w:val="24"/>
        </w:rPr>
        <w:t xml:space="preserve">年，因人为因素出现的故障不在质保范围内。超过质保期的乙方负责终生维修，维修时只收取部件成本费。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十一、项目验收</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如有必要，甲方可邀请参加本项目投标的其他供应商或第三方专业机构及专家参与验收，相关意见将作为验收结论的参考。</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十二、随服务提供的货物的包装、发运及运输</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十三、保密条款</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双方应确保己方人员遵守本条约定保密义务，否则由此产生的一切后果由违约方承担责任。</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本条约定在本协议解除、终止或被认为无效后仍然有效。</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十四、违约责任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甲方无正当理由拒绝接受乙方提供服务的，应向乙方偿付拒绝接受服务合同总额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甲方无故逾期验收和办理支付手续的，应按逾期付款总额每日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乙方逾期提供服务的，应按逾期提供服务合同总额每日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乙方所提供服务的标准不符合合同规定及招标文件规定标准的，甲方有权拒绝接受服务，并可单方面解除合同。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十五、不可抗力事件处理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在合同有效期内，任何一方因不可抗力事件导致不能履行合同，则合同履行期可延长，其延长期与不可抗力影响期相同。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不可抗力事件发生后，应立即通知对方并寄送有关权威机构出具的证明。</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不可抗力事件延续120天以上，双方应通过友好协商确定是否继续履行合同。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十六、解决争议的方法</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双方对其它违约责任按《中华人民共和国民法典》的有关规定处理，解决与本合同有关的一切争议。如一方不愿意协商或协商30日后无法解决的，应提交甲方所在地人民法院。</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十七、合同生效及其它</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本合同经双方加盖单位公章后生效。</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本合同未尽事宜，遵照《中华人民共和国民法典》《中华人民共和国政府采购法》有关条文执行。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本项目招标文件、投标文件、协议（合同）及附件、乙方其他承诺，均为本项目不可分割的重要组成部分，具有同等法律效力。</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本合同正本一式两份，具有同等法律效力，甲方、乙方各执一份。</w:t>
      </w:r>
      <w:r/>
    </w:p>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南京市城市数字治理中心 </w:t>
      </w:r>
      <w:r>
        <w:rPr>
          <w:rFonts w:ascii="SimSun" w:hAnsi="SimSun" w:eastAsia="SimSun" w:cs="SimSun"/>
          <w:color w:val="000000"/>
          <w:sz w:val="24"/>
        </w:rPr>
        <w:t xml:space="preserve">（盖章）乙方：</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南京市建邺区江东中路（新城大厦）D座 </w:t>
      </w:r>
      <w:r>
        <w:rPr>
          <w:rFonts w:ascii="SimSun" w:hAnsi="SimSun" w:eastAsia="SimSun" w:cs="SimSun"/>
          <w:color w:val="000000"/>
          <w:sz w:val="24"/>
        </w:rPr>
        <w:t xml:space="preserve"> 地址：</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210000   </w:t>
      </w:r>
      <w:r>
        <w:rPr>
          <w:rFonts w:ascii="SimSun" w:hAnsi="SimSun" w:eastAsia="SimSun" w:cs="SimSun"/>
          <w:color w:val="000000"/>
          <w:sz w:val="24"/>
        </w:rPr>
        <w:t xml:space="preserve">                             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025-68789532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                          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代表（手机）：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银行：</w:t>
      </w:r>
      <w:r>
        <w:rPr>
          <w:rFonts w:ascii="SimSun" w:hAnsi="SimSun" w:eastAsia="SimSun" w:cs="SimSun"/>
          <w:color w:val="000000"/>
          <w:sz w:val="24"/>
          <w:u w:val="single"/>
        </w:rPr>
        <w:t xml:space="preserve">                              </w:t>
      </w:r>
      <w:r/>
    </w:p>
    <w:p>
      <w:pPr>
        <w:ind w:left="0" w:right="0" w:firstLine="37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p>
    <w:p>
      <w:pPr>
        <w:ind w:left="0" w:right="0" w:firstLine="49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145" w:after="145" w:line="62"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32"/>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《*******合同》补充协议（合同附件）</w:t>
      </w:r>
      <w:r/>
    </w:p>
    <w:p>
      <w:pPr>
        <w:ind w:left="0" w:right="0" w:firstLine="48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招标文件及合同未约定事项，双方可友好协商签订补充协议。</w:t>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一、</w:t>
      </w:r>
      <w:r>
        <w:rPr>
          <w:rFonts w:ascii="SimHei" w:hAnsi="SimHei" w:eastAsia="SimHei" w:cs="SimHei"/>
          <w:color w:val="000000"/>
          <w:sz w:val="24"/>
        </w:rPr>
        <w:t xml:space="preserve">项目属性：</w:t>
      </w:r>
      <w:r>
        <w:rPr>
          <w:rFonts w:ascii="SimSun" w:hAnsi="SimSun" w:eastAsia="SimSun" w:cs="SimSun"/>
          <w:color w:val="000000"/>
          <w:sz w:val="24"/>
        </w:rPr>
        <w:t xml:space="preserve">服务类项目。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年，为深入贯彻落实《“十三五”国家信息化规划》，强化信息基础设施建设，同时推进南京市政务信息化国产化进程，南京市城市数字治理中心充分运用云计算、大数据等先进理念和技术，按照“集约高效、共享开放、国产化、按需服务”的原则，结合南京市电子政务发展情况，依托国产化软硬件，推进南京市XC云平台建设。目前南京市XC云具已为南京市15个委办局21个系统提供了216台云主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中投入的软硬件设施于今年维保到期，为不影响XC云的正常运行，南京市城市数字治理中心计划启动XC云维保服务项目，采购相应的软硬件维保，确保云平台稳定、可靠运行，同时结合目前XC云资源的使用情况，适当增补一定内存资源，缓解XC云内存资源不足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纪检监察机构联系方式：025-68789930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（二）项目建设遵循标准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遵循国家、行业及地方现行的规范和标准要求。包括但不限于以下内容：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l国务院办公厅关于印发政务信息系统整合共享实施方案的通知（国办发〔2017〕39号）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l《国务院办公厅关于印发政务信息系统整合共享实施方案的通知》（国办发〔2017〕39号）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l《中共中央办公厅国务院办公厅印发关于&lt;深入推进审批服务便民化的指导意见&gt;的通知》（厅字〔2018〕22号）；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l《国务院关于加快推进全国一体化在线政务服务平台建设的指导意见》（国发〔2018〕27号）；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l国务院办公厅关于全面推进基层政务公开标准化规范化工作的指导意见（国办发〔2019〕54号）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l国家互联网信息办公室 国家发展和改革委员会 工业和信息化部 财政部关于发布《云计算服务安全评估办法》的公告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l国务院办公厅关于加快推进政务服务“跨省通办”的指导意见（国办发〔2020〕35号）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l《国务院关于在线政务服务的若干规定》（国务院令第716号）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l《国务院关于加强数字政府建设的指导意见》（国发〔2022〕14号）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l《国务院办公厅关于印发全国一体化政务大数据体系建设指南的通知》（国办函〔2022〕102号）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l省政府办公厅印发关于加快新型信息基础设施建设扩大信息消费若干政策措施的通知（苏政办发〔2020〕31号）；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l省政府办公厅关于深入推进数字经济发展的意见（苏政办发〔2020〕71号）；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l市政府关于印发《南京市政务信息化项目建设管理办法》的通知（宁政发〔2020〕58号）；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l《中共南京市委关于制定南京市国民经济和社会发展第十四个五年规划和二〇三五年远景目标的建议》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l市政府办公厅关于印发《南京市整体推进城市数字化转型“十四五”规划》的通知（宁政办发〔2021〕74号）；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l《省政府关于加快统筹推进数字政府高质量建设的实施意见》（苏政发〔2022〕44号）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l《南京市政务云管理办法》（宁数政发〔2023〕4号）；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l《省政府办公厅关于印发江苏省政务“一朵云”建设总体方案的通知》（苏政办发〔2023〕36号）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tab/>
        <w:t xml:space="preserve">技术依据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33356-2016 新型智慧城市评价指标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33780.2-2017 基于云计算的电子政务公共平台技术规范第 2 部分：功能和性能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29245-2012 信息安全技术政府部门信息安全管理基本要求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18391-2009 信息技术元数据注册系统(MDR)</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19486-2004 电子政务主题词表编制规则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lGB/Z 18493-2001 信息技术软件生存周期过程指南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lGB/T5271.1-2000 信息技术词汇第 1 部分基本词汇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lGB/T17965-2000 信息技术开放系统互连高层安全模型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18492-2001 信息技术系统及软件完整性级别</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19487-2004 电子政务业务流程设计方法通用规范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lGB/Z 19669-2005 XML 在电子政务中的应用指南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20008-2005 信息安全技术操作系统安全评估准则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20009-2005 信息安全技术数据库管理系统安全评估准则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lGB/Z 20156-2006 软件工程软件生存周期过程用于项目管理的指南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20157-2006 信息技术软件维护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20158-2006 信息技术软件生存周期过程配置管理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20273-2006 信息安全技术数据库管理系统安全技术要求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21061-2007 国家电子政务网络技术和运行管理规范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21064-2007 电子政务系统总体设计要求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9385-2008 计算机软件需求规格说明规范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9386-2008 计算机软件测试文档编制规范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14394-2008 计算机软件可靠性和可维护性管理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15532-2008 计算机软件测试规范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19003-2008 软件工程 GB/T19001-2000 应用于计算机软件的指南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25647-2010 电子政务术语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28035-2011 软件系统验收规范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lGB/T 30850 电子政务标准化指南</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三、产品清单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3"/>
        <w:gridCol w:w="2291"/>
        <w:gridCol w:w="648"/>
        <w:gridCol w:w="796"/>
        <w:gridCol w:w="1520"/>
        <w:gridCol w:w="1808"/>
        <w:gridCol w:w="1588"/>
      </w:tblGrid>
      <w:tr>
        <w:trPr>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所属行业类型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产品属性</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南京市XC云维保服务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★四、拟采购标的需要满足的技术、商务要求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1.维保清单（本项目采购人组织现场勘察及答疑。具体维保设备的型号、品牌供应商现场签署保密协议后可以获得（需自带U盘））</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2"/>
        <w:gridCol w:w="4476"/>
        <w:gridCol w:w="1435"/>
        <w:gridCol w:w="2057"/>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物品名称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接入交换机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汇聚交换机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互联网-核心交换机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万兆接入交换机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外网-核心交换机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分布式块存储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应用服务器01（非密）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应用服务器02（非密）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应用服务器03（非密）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应用服务器04（非密）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应用服务器05（非密）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计算服务器散配件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云管理服务器散配件01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云网络服务器散配件02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防病毒系统管理端01（非密）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防病毒系统管理端02（非密）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防病毒系统服务器端客户端02（非密）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防火墙（千兆）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防火墙（万兆）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安全隔离设备（网闸）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安全流探针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云安全资源池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安全态势感知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数据中心大数据智能分析平台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统一运维系统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云平台软件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32G内存条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1047"/>
        <w:gridCol w:w="76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质保延续服务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1.实现对虚拟化环境、云计算平台和物理环境的集中监控和管理；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2.需要管理的对象包括：网络设备、存储设备、服务器设备、安全产品、等保密评设备、系统软件；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3.需要建立报表系统，实现对服务管理平台中各种信息的分析和呈现；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4.支撑系统应当具有良好的扩展性，以适应平台业务不断的发展；管理平台应当具有良好的开放性，以适应不同环境的管理要求。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5.保证统一监控平台和云管理正常运行，实现计算、存储及虚拟资源以及机房、网络的统一监控、统一管理、统一维护。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6.保证云数据中心可视化智能运维。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1.维护期内，本项目所有技术和服务发生任何非人为故障，由中标供应商负责系统恢复。故障报修的响应时间为即时，响应时间为2小时，到达现场时间为8小时，故障恢复时间为48个小时。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2.维护期内，对采购人提出的合理服务要求，中标供应商必须即时进行电话、邮件及远程网络支持，并在8小时内到场服务。如不到场，采购人有权自行处理，相关费用由中标供应商负责。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3.所有的服务方式均为中标供应商上门保修，即由中标供应商派人员到系统使用现场进行故障恢复，由此产生的一切费用均由中标供应商承担。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1.中标供应商必须提供一般工作人员的操作培训和技术人员的技术培训，提供相应的培训课资料。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2.中标供应商派出的专职培训教员应具有类似项目的培训经验。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3.培训的时间和培训次数由采购人决定。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内存升级服务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1.中标供应商提供内存条（单根内存不小于32GB），须兼容本次维保清单内的服务器；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2.安装严格按照主板手册的安装，供应商须提供合理的内存升级服务方案，内存升级改造完成后，确保内存是否全部识别，设备故障运行稳定性，并进行72小时稳定性测试。</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1.服务响应时间：服务响应时间为7*24小时。电话响应时间为10分钟；到达现场时间为2小时。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2.定期巡检：对设备进行月度巡检和半年深度巡检，提供巡检报告。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3.备品备件：本项目中的设备备件必须为原厂备件。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4.项目成员：本项目团队成员不少于8人，其中项目负责人1人，运维人员不少于7人。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5.根据项目运维管理的要求，结合中标供应商实际服务情况，进行违约责任认定。具体要求如下：</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（1）服务响应与质量</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未及时接听报障电话/回复工作消息（15分钟内）：计轻微违约。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未在约定时间（2小时）内到达现场处理故障：计一般违约。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未按采购人要求执行维护工作：计一般违约；若导致系统性能下降或存在运行风险，计严重违约。</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）因维保范围内设备原因导致重要系统服务中断</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中断时间小于30分钟，计轻微违约。</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中断时间超过30分钟小于2小时的，计一般违约。</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中断时间超过2小时，或造成重大数据丢失、安全事件或负面舆情，视为严重违约事件，除计严重违约外，采购人有权启动合同终止程序。</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）定期巡检与报告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未按合同规定的时间或频率进行巡检：计一般违约。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未按要求提供巡检报告、运维日志或报告内容严重失实：计一般违约；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若隐瞒重大安全隐患，计严重违约。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未达到约定的应急演练次数或演练流于形式、未达到效果：计一般违约。</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）人员与操作规范​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未经采购人许可，擅自更换关键运维人员，或现场人员资质不符合合同要求：计一般违约；若导致服务质量下降，计严重违约。</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（5）信息安全与保密​</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泄露采购人数据、敏感信息或工作秘密：无论是否造成实际损失，均计严重违约，并需按采购人要求采取补救措施。如果造成严重损失的，追究法律责任。</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）违约分级与追责标准：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轻微违约​</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每次处以5000元违约金，从当期合同款中扣减。采购人口头警告或内部书面通报。</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一般违约</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每次处以10000元违约金，从合同款中扣减。采购人出具正式违约通知书至中标供应商。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严重违约​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每次处以30000元违约金。采购人出具违约通知书并约谈中标供应商。必要时报送监管部门，直至终止合同。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由采购人提供形成的相关数据成果的权属归采购人。中标供应商应保证采购人在使用、接受本合同中产品和服务或其任何一部分时不受第三方提出侵犯其专利权、版权、商标权和工业设计权等知识产权的起诉。一旦出现侵权，由中标供应商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有责任对采购人要求的保密信息进行保密。未经采购人许可，中标供应商不得将由采购人提供的有关合同或任何合同条文、规格、计划、图纸、样品或资料给第三方，或以其他任何形式供第三方利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（3）中标供应商需提供定期回访服务，对采购人提出的合理优化建议应提供升级服务，费用包含在投标总价中。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（4）所有的服务方式均为供应商上门保修，即由供应商派员到使用现场进行故障恢复，由此产生的一切费用均由供应商承担。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7.服务时间及地点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服务地点：采购人指定地点。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服务时间：自合同签订之日起两年，合同一年一签。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8.付款条件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（1）本项目合同签订后，采购人向中标供应商支付当年合同金额的30%；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（2）当年运维期满6个月后，采购人向中标供应商支付当年合同金额的20%；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（3）当年运维期满1年后，采购人向中标供应商支付当年合同金额的50%。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（4）满足合同约定支付条件的，采购人收到中标供应商发票后10个工作日内，将资金支付到合同约定的中标供应商账户。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（5）根据工业和信息化部关于印发《保障中小企业款项支付投诉处理暂行办法》的通知（工信部企业〔2021〕224 号），采购人未按合同约定支付款项的，中标供应商可以向有关部门投诉。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9.考核和中止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（1）年度服务完成后，采购人对中标供应商履约情况进行考核，考核标准参考“商务要求中的1-6条款”。考核通过则继续下一年度的服务；未通过则合同中止。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（2）服务期间，采购人有权中止合同，但需提前一个月书面告知中标供应商并结清供应商已完成服务的费用。</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一、评标方法</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按“三、评标标准中2.1-2.5项”得分由高到低顺序排列。在投标文件满足招标文件全部实质性要求的供应商中，按照评审得分由高到低选取3名中标候选人。</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二、小微企业价格扣除</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1.本项目服务全部由小微企业承接的，对报价给予10%的扣除，用扣除后的价格参与评审。</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三、评标标准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118"/>
        <w:gridCol w:w="4710"/>
        <w:gridCol w:w="928"/>
        <w:gridCol w:w="1844"/>
      </w:tblGrid>
      <w:tr>
        <w:trPr>
          <w:trHeight w:val="297"/>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1.价格</w:t>
            </w:r>
            <w:r/>
          </w:p>
        </w:tc>
      </w:tr>
      <w:tr>
        <w:trPr>
          <w:trHeight w:val="11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采用低价优先法计算，即满足采购文件要求且投标报价最低的为评审基准价，其价格分为满分。其他供应商的价格分统一按照下列公式计算：报价得分=(评标基准价/投标报价)×10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注：评审过程中出现下列情形之一的，评审委员会应当启动异常低价投标（响应）审查程序：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1．投标（响应）报价低于采购项目预算50%的，即投标（响应）报价&lt;采购项目预算×50%；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2．投标（响应）报价低于采购项目最高限价45%的，即投标（响应）报价&lt;采购项目最高限价×45%；</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3．评审委员会认定的供应商报价过低、有可能影响产品质量或者不能诚信履约的其他情形。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29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2.服务</w:t>
            </w:r>
            <w:r/>
          </w:p>
        </w:tc>
      </w:tr>
      <w:tr>
        <w:trPr>
          <w:trHeight w:val="27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需求理解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评委根据投标人提供的项目需求理解方案（针对本项目背景、运维目标、运维需求及必要性等方面的理解材料）进行综合评分：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1.方案贴合采购需求、详尽合理、针对性强的，得6分；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2.方案较为贴合采购需求、具备较强的针对性的，得4分；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3.方案内容与采购需求基本符合，具备针对性的，得2分；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4.方案内容与采购需求严重不符，缺乏针对性或者未提供方案的，不得分。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29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系统质保方案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评委根据投标人针对本项目提供的系统运维服务服务方案（包括质保内容、服务体系、专业技术人员保障等）综合评分：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1.方案贴合采购需求、详尽合理、针对性强的，得8分；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2.方案较贴合采购需求、较详尽合理、针对性较强的，得5分；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3.方案基本贴合采购需求、基本合理、具备针对性的，得2分；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4.方案不贴合采购需求，缺乏合理性、针对性，或未提供方案的，不得分。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内存升级服务方案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评委根据投标人针对本项目提供的内存升级服务方案（包括内存产品型号、内存产品的厂家、产品型号、内存达规定大小、升级方案、实施风险分析、保障措施等内容）综合评分：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1.方案详尽，方案设计合理、科学性强、操作性强的，得6分；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2.方案较详尽，方案设计较合理、有一定的科学性和针对性、操作性较强的，得4分；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3.方案设计基本合理，基本满足采购需求、基本具备操作性的，得2分；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4.方案不合理、不能满足采购需求或者未提供方案的，不得分。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8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云平台运维与上云支持方案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评委根据投标人提供的云平台服务方案（包括云平台运维、上云支持方案等内容）进行综合评分：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1.方案设计合理、科学性强、针对性强、能较好满足采购需求的，得6分；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2.方案设计较合理、有一定的科学性和针对性，可以满足采购需求的，得4分；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3.方案设计基本合理，基本满足采购需求的，得2分；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4.方案不合理、不能满足采购需求或未提供的不得分。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0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机房日常维护方案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评委根据投标人提供的机房维护方案（包括巡检方案、应急预案等内容）进行综合评分：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1.方案设计合理、科学性强、针对性强、能较好满足采购需求的，得8分；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2.方案设计较合理、有一定的科学性和针对性，可以满足采购需求的，得5分；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3.方案设计基本合理，基本满足采购需求的，得2分；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4.方案不合理、不能满足采购需求或未提供的不得分。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0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统一运维工具方案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评委根据投标人提供的运维工具方案（包括网管对接、统一监控等内容）进行综合评分：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1.方案设计合理、科学性强、针对性强、能较好满足采购需求的，得6分；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2.方案设计较合理、有一定的科学性和针对性，可以满足采购需求的，得4分；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3.方案设计基本合理，基本满足采购需求的，得2分；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4.方案不合理、不能满足采购需求或未提供的，不得分。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评委根据投标人提供的应急响应方案（含机房故障应急响应、网络应急响应等）综合评分：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1.方案贴合采购需求、详尽合理、针对性强的，得8分；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2.方案较为贴合采购需求、具备较强的针对性的，得5分；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3.方案内容基本符合采购需求，具备针对性的，得2分；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4.方案内容与采购需求严重不符，缺乏针对性或者未提供方案的，不得分。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评委根据投标人针对本项目提供的项目培训方案（包括培训内容、培训方式等）综合评分：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1.方案详尽，维护技术培训内容及方式明确、可持续的，得8分；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2.方案较详尽，维护技术培训内容及方式较明确、具备一定可持续性的，得5分；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3.方案基本完整，本次乃至后续使用、维护技术培训内容及方式基本明确、基本具备可持续性的，得2分；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4.方案不完整，本次乃至后续使用、维护技术培训内容及方式不明确，或者未提供方案的，不得分。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29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3.业绩</w:t>
            </w:r>
            <w:r/>
          </w:p>
        </w:tc>
      </w:tr>
      <w:tr>
        <w:trPr>
          <w:trHeight w:val="26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自2022年8月1日以来（以合同签订日期为准）完成类似项目的业绩（主要标的物至少包含：云平台运维、云平台服务或机房运维等），每提供一个得2分，本项最多得6分。（提供合同扫描件加盖公章，合同须能反映项目名称和主要标的物，签订时间和签章清晰可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29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4.履约能力</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投标人拟投入本项目的项目经理：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1.具有信息系统项目管理师证书的，得2分，最多2分。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2.具有通信专业技术人员职业资格的，得2分，最多2分。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3.具有信息通信网络运行管理员证书的，得2分，最多2分。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本项最高6分，未提供不得分。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（需提供相关证书扫描件加盖公章，证书应能反映相关信息；以及投标人为其缴纳的2025年4月以来任意一个月的社保缴纳证明）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3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项目团队成员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投标人拟投入本项目的项目团队成员（项目经理除外）：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1.具有HCIE或CCIE认证证书的，每提供一人得2分，最多得6分。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2.具有云方向的HCIP或CCNP认证证书的，每提供一人得2分，最多得8分。本项最高14分，一人多证不重复得分。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注：需提供相关证书扫描件加盖公章以及投标人为其缴纳的2025年4月以来任意一个月的社保缴纳证明。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3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软件著作权或专利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本项目的相关产品具有软件著作权证书，软件名称包含“数据中心运维管理、云平台计算任务调度、云平台统一调度及监控、云资源运营管理”等关键字，每提供1个证书得2分，最多得8分，未提供不得分（提供证书）。（提供软件著作权或专利证书扫描件加盖公章，证书应能反映相关信息。所提供著作权或专利名称与评分要求不同时，应提供功能说明及包含的关键信息，相应系统功能应符合上述要求，否则不予认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六、实质性要求响应及偏离表（如有）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七、商务要求响应及偏离表（如有）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十一、残疾人福利性单位声明函（如有）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1.按招标文件规定的各项要求，向买方提供所需服务（包含与货物相关的货物）。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六、实质性要求响应及偏离表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实质性要求响应及偏离表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2741"/>
        <w:gridCol w:w="2917"/>
        <w:gridCol w:w="1916"/>
        <w:gridCol w:w="10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b/>
                <w:color w:val="000000"/>
                <w:sz w:val="24"/>
              </w:rPr>
              <w:t xml:space="preserve">（斜体下划线内容或打“★”内容）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1.供应商必须对技术要求和商务要求中的实质性要求（</w:t>
      </w:r>
      <w:r>
        <w:rPr>
          <w:rFonts w:ascii="SimSun" w:hAnsi="SimSun" w:eastAsia="SimSun" w:cs="SimSun"/>
          <w:b/>
          <w:color w:val="000000"/>
          <w:sz w:val="24"/>
        </w:rPr>
        <w:t xml:space="preserve">斜体下划线内容或打“★”内容</w:t>
      </w:r>
      <w:r>
        <w:rPr>
          <w:rFonts w:ascii="SimSun" w:hAnsi="SimSun" w:eastAsia="SimSun" w:cs="SimSun"/>
          <w:color w:val="000000"/>
          <w:sz w:val="24"/>
        </w:rPr>
        <w:t xml:space="preserve">）做出明确响应，否则作无效响应处理。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2.如果采购文件要求提供证明材料，供应商必须将证明材料列于该表之下。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3.供应商未对实质性要求作出明确响应的，或未按采购文件要求提供证明材料的，作无效响应处理。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七、商务要求响应及偏离表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2689"/>
        <w:gridCol w:w="2684"/>
        <w:gridCol w:w="1996"/>
        <w:gridCol w:w="11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776"/>
        <w:gridCol w:w="2688"/>
        <w:gridCol w:w="2053"/>
        <w:gridCol w:w="11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对实质性要求（斜体下划线内容或打“★”内容）做出明确响应。技术要求中的实质性要求或打“▲”要求，采购文件要求提供证明材料的，供应商应按要求在此表下方提供；采购文件未要求提供证明材料的，签订合同时供应商应按采购人要求提供相关证明材料核验（如：白皮书、彩页、手册、网站截图、具有CMA标识的检测报告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2.供应商未对实质性要求作出明确响应的，或未按采购文件要求提供证明材料的，作无效响应处理。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32"/>
        </w:rPr>
        <w:t xml:space="preserve">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项目的采购活动，服务全部由符合政策的中小企业承接。根据《工业和信息化部、国家统计局、国家发展和改革委员会、财政部关于印发中小企业划型标准规定的通知》(工信部联企业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KaiTi">
    <w:panose1 w:val="02010609060101010101"/>
  </w:font>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闫甜甜</cp:lastModifiedBy>
  <cp:revision>2</cp:revision>
  <dcterms:created xsi:type="dcterms:W3CDTF">2025-11-10T05:53:52Z</dcterms:created>
  <dcterms:modified xsi:type="dcterms:W3CDTF">2025-11-10T06:27:33Z</dcterms:modified>
</cp:coreProperties>
</file>